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1D7A31" w14:paraId="5BA70611" w14:textId="77777777" w:rsidTr="6A199F1A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5397F15E" w:rsidR="00F24305" w:rsidRPr="001D7A31" w:rsidRDefault="6A199F1A" w:rsidP="6A199F1A">
            <w:pPr>
              <w:pStyle w:val="Heading1"/>
              <w:tabs>
                <w:tab w:val="left" w:pos="4333"/>
              </w:tabs>
              <w:spacing w:line="240" w:lineRule="auto"/>
              <w:ind w:right="-2900"/>
              <w:jc w:val="left"/>
              <w:outlineLvl w:val="0"/>
              <w:rPr>
                <w:rFonts w:ascii="Lato Regular" w:hAnsi="Lato Regular"/>
                <w:sz w:val="40"/>
                <w:szCs w:val="40"/>
              </w:rPr>
            </w:pPr>
            <w:r w:rsidRPr="001D7A31">
              <w:rPr>
                <w:rFonts w:ascii="Lato Regular" w:hAnsi="Lato Regular"/>
                <w:sz w:val="40"/>
                <w:szCs w:val="40"/>
              </w:rPr>
              <w:t>Environmental Economics</w:t>
            </w:r>
          </w:p>
        </w:tc>
      </w:tr>
    </w:tbl>
    <w:p w14:paraId="0CB2A391" w14:textId="77777777" w:rsidR="00F24305" w:rsidRPr="001D7A31" w:rsidRDefault="00F24305" w:rsidP="00991786">
      <w:pPr>
        <w:pStyle w:val="HeaderMobLab"/>
        <w:rPr>
          <w:rFonts w:ascii="Lato Regular" w:hAnsi="Lato Regular"/>
          <w:b/>
        </w:rPr>
      </w:pPr>
    </w:p>
    <w:p w14:paraId="5D4FFF4A" w14:textId="3F3332B9" w:rsidR="6A199F1A" w:rsidRPr="001D7A31" w:rsidRDefault="6A199F1A" w:rsidP="6A199F1A">
      <w:pPr>
        <w:pStyle w:val="HeaderMobLab"/>
        <w:rPr>
          <w:rFonts w:ascii="Lato Regular" w:hAnsi="Lato Regular"/>
          <w:sz w:val="28"/>
          <w:szCs w:val="28"/>
        </w:rPr>
      </w:pPr>
      <w:bookmarkStart w:id="0" w:name="OLE_LINK1"/>
      <w:bookmarkStart w:id="1" w:name="OLE_LINK2"/>
      <w:bookmarkEnd w:id="0"/>
      <w:bookmarkEnd w:id="1"/>
      <w:r w:rsidRPr="001D7A31">
        <w:rPr>
          <w:rFonts w:ascii="Lato Regular" w:hAnsi="Lato Regular"/>
          <w:sz w:val="28"/>
          <w:szCs w:val="28"/>
        </w:rPr>
        <w:t>Externalities</w:t>
      </w:r>
    </w:p>
    <w:p w14:paraId="786A21B5" w14:textId="1ABD7D98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MobLab Game: Externalities with Policy Intervention</w:t>
      </w:r>
    </w:p>
    <w:p w14:paraId="0227D85C" w14:textId="410A63AD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Key Teaching Points:</w:t>
      </w:r>
    </w:p>
    <w:p w14:paraId="307F523C" w14:textId="4ABF6667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Show a divergence between market price and quantity and the socially optimal price and quantity for an externality-generating good.</w:t>
      </w:r>
    </w:p>
    <w:p w14:paraId="2C329195" w14:textId="74291ADE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Demonstrate that taxes and subsidies help individuals to internalize these externalities.</w:t>
      </w:r>
    </w:p>
    <w:p w14:paraId="4D1A2FBF" w14:textId="4A5A02C4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Explore tradable permit market for a good with a negative externality. </w:t>
      </w:r>
    </w:p>
    <w:p w14:paraId="4935464F" w14:textId="60F555EA" w:rsidR="6A199F1A" w:rsidRPr="001D7A31" w:rsidRDefault="6A199F1A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  <w:r w:rsidRPr="001D7A31">
        <w:rPr>
          <w:rFonts w:ascii="Lato Regular" w:hAnsi="Lato Regular"/>
          <w:sz w:val="28"/>
          <w:szCs w:val="28"/>
        </w:rPr>
        <w:t>Common-Pool Resources</w:t>
      </w:r>
    </w:p>
    <w:p w14:paraId="5E51864B" w14:textId="389CE8DC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MobLab Game: Commons: Fishery</w:t>
      </w:r>
    </w:p>
    <w:p w14:paraId="7C6029A2" w14:textId="40EFCA8B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Key Teaching Points: </w:t>
      </w:r>
    </w:p>
    <w:p w14:paraId="3B40C452" w14:textId="554F1A82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Set group size equal to one or many to reveal property rights as the fundamental issue of the commons.</w:t>
      </w:r>
    </w:p>
    <w:p w14:paraId="44703083" w14:textId="1B1DB4B8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Individual profit maximization leads to overuse of a common-pool resource.</w:t>
      </w:r>
    </w:p>
    <w:p w14:paraId="71DAA3C5" w14:textId="6B8FC6C3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With communication individuals can form non-binding agreements about governing the commons and administer verbal punishments to violators. </w:t>
      </w:r>
    </w:p>
    <w:p w14:paraId="6FBF227C" w14:textId="396B9668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Indefinite repetition increases the stream of future benefits from cooperation and may lead to more cooperative outcomes.</w:t>
      </w:r>
    </w:p>
    <w:p w14:paraId="248FEE0C" w14:textId="341B5F7F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MobLab Game: Tragedy of the Commons</w:t>
      </w:r>
    </w:p>
    <w:p w14:paraId="10F35D9C" w14:textId="40EFCA8B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Key Teaching Points: </w:t>
      </w:r>
    </w:p>
    <w:p w14:paraId="4B16EE6D" w14:textId="345C4C9B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An individual's utility maximizing catch has an interior optimum. </w:t>
      </w:r>
    </w:p>
    <w:p w14:paraId="7ED63EB4" w14:textId="02FAA5E0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Since fish in a public lake are a common resource, each individual has an incentive to overfish (i.e., not take into account the cost imposed on other group members). </w:t>
      </w:r>
    </w:p>
    <w:p w14:paraId="629D3450" w14:textId="0CBC2134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Regulations, such as taxes or subsidies, can mitigate the over-use of natural resources.</w:t>
      </w:r>
    </w:p>
    <w:p w14:paraId="50493737" w14:textId="4ECA0C29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MobLab Game: Commons: Fishery with Quota</w:t>
      </w:r>
    </w:p>
    <w:p w14:paraId="11C2FAAC" w14:textId="40EFCA8B" w:rsidR="6A199F1A" w:rsidRPr="001D7A31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Key Teaching Points: </w:t>
      </w:r>
    </w:p>
    <w:p w14:paraId="75AFA9A8" w14:textId="6BA8A832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An individual's utility maximizing catch has an interior optimum.</w:t>
      </w:r>
    </w:p>
    <w:p w14:paraId="4A33DDC9" w14:textId="6CC913C5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A quota can improve player outcomes relative to open access, both by allowing the recovery of a renewal resource and by preventing over-exploitation of a healthy stock. </w:t>
      </w:r>
    </w:p>
    <w:p w14:paraId="2EC908E2" w14:textId="5A32D32A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Explore the effects of different quota allocation schemes (e.g. historical, capacity based, or equal) on the health of the fish stock. </w:t>
      </w:r>
    </w:p>
    <w:p w14:paraId="1C5A9AFB" w14:textId="77777777" w:rsidR="00415BC2" w:rsidRPr="001D7A31" w:rsidRDefault="00415BC2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</w:p>
    <w:p w14:paraId="76CAC24C" w14:textId="47B8ECA0" w:rsidR="6A199F1A" w:rsidRPr="001D7A31" w:rsidRDefault="6A199F1A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  <w:r w:rsidRPr="001D7A31">
        <w:rPr>
          <w:rFonts w:ascii="Lato Regular" w:hAnsi="Lato Regular"/>
          <w:sz w:val="28"/>
          <w:szCs w:val="28"/>
        </w:rPr>
        <w:t>Public Goods and Free Riding</w:t>
      </w:r>
    </w:p>
    <w:p w14:paraId="23B9DC26" w14:textId="721D70F6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MobLab Game: Public Goods: Linear </w:t>
      </w:r>
    </w:p>
    <w:p w14:paraId="58689AEF" w14:textId="67121E17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Key Teaching Points:</w:t>
      </w:r>
    </w:p>
    <w:p w14:paraId="5A93048E" w14:textId="77777777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Highlights the features of public goods: non-rival and non-excludable. </w:t>
      </w:r>
    </w:p>
    <w:p w14:paraId="3810C2C2" w14:textId="39A61096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lastRenderedPageBreak/>
        <w:t xml:space="preserve">Shows the tension between individual and group welfare. </w:t>
      </w:r>
    </w:p>
    <w:p w14:paraId="31BE6D11" w14:textId="77F92990" w:rsidR="6A199F1A" w:rsidRPr="001D7A31" w:rsidRDefault="6A199F1A" w:rsidP="6A199F1A">
      <w:pPr>
        <w:pStyle w:val="EachGame"/>
        <w:numPr>
          <w:ilvl w:val="0"/>
          <w:numId w:val="30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Experience the free-rider problem.</w:t>
      </w:r>
    </w:p>
    <w:p w14:paraId="705CADD1" w14:textId="323AB201" w:rsidR="6A199F1A" w:rsidRPr="001D7A31" w:rsidRDefault="6A199F1A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  <w:r w:rsidRPr="001D7A31">
        <w:rPr>
          <w:rFonts w:ascii="Lato Regular" w:hAnsi="Lato Regular"/>
          <w:sz w:val="28"/>
          <w:szCs w:val="28"/>
        </w:rPr>
        <w:t>Contingent Valuation</w:t>
      </w:r>
    </w:p>
    <w:p w14:paraId="7DB65C12" w14:textId="56B395E5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MobLab Game: Blank Survey</w:t>
      </w:r>
    </w:p>
    <w:p w14:paraId="3F43CBBC" w14:textId="1891BFF1" w:rsidR="6A199F1A" w:rsidRPr="001D7A31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 xml:space="preserve">Key Teaching Points: </w:t>
      </w:r>
    </w:p>
    <w:p w14:paraId="2CA8E90D" w14:textId="50130345" w:rsidR="6A199F1A" w:rsidRPr="001D7A31" w:rsidRDefault="6A199F1A" w:rsidP="6A199F1A">
      <w:pPr>
        <w:pStyle w:val="EachGame"/>
        <w:numPr>
          <w:ilvl w:val="0"/>
          <w:numId w:val="25"/>
        </w:numPr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hAnsi="Lato Regular"/>
          <w:sz w:val="24"/>
          <w:szCs w:val="24"/>
        </w:rPr>
        <w:t>Create your own survey-based experiment on contingent valuation using our Blank Survey tool. You can create different frames to elicit student WTP and WTA for non-market goods.</w:t>
      </w:r>
    </w:p>
    <w:p w14:paraId="73F57EF5" w14:textId="51B5772D" w:rsidR="6A199F1A" w:rsidRPr="001D7A31" w:rsidRDefault="6A199F1A" w:rsidP="6A199F1A">
      <w:pPr>
        <w:spacing w:line="330" w:lineRule="exact"/>
        <w:contextualSpacing/>
        <w:rPr>
          <w:rFonts w:ascii="Lato Regular" w:eastAsia="Roboto" w:hAnsi="Lato Regular" w:cs="Roboto"/>
          <w:sz w:val="28"/>
          <w:szCs w:val="28"/>
        </w:rPr>
      </w:pPr>
      <w:r w:rsidRPr="001D7A31">
        <w:rPr>
          <w:rFonts w:ascii="Lato Regular" w:eastAsia="Roboto" w:hAnsi="Lato Regular" w:cs="Roboto"/>
          <w:color w:val="EE2A49"/>
          <w:sz w:val="28"/>
          <w:szCs w:val="28"/>
        </w:rPr>
        <w:t>Risk and Uncertainty</w:t>
      </w:r>
    </w:p>
    <w:p w14:paraId="0DA8EC84" w14:textId="1EE68708" w:rsidR="6A199F1A" w:rsidRPr="001D7A31" w:rsidRDefault="6A199F1A" w:rsidP="6A199F1A">
      <w:pPr>
        <w:spacing w:line="285" w:lineRule="exact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MobLab Game: Bomb Risk Game</w:t>
      </w:r>
    </w:p>
    <w:p w14:paraId="11758B33" w14:textId="4481A610" w:rsidR="6A199F1A" w:rsidRPr="001D7A31" w:rsidRDefault="6A199F1A" w:rsidP="6A199F1A">
      <w:pPr>
        <w:spacing w:line="285" w:lineRule="exact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44238C2F" w14:textId="0BEDADAA" w:rsidR="6A199F1A" w:rsidRPr="001D7A31" w:rsidRDefault="6A199F1A" w:rsidP="6A199F1A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Individuals differ in their risk tolerance. Risk preferences displayed in one environment can carry over to other environments. </w:t>
      </w:r>
    </w:p>
    <w:p w14:paraId="39877FC6" w14:textId="76F8198E" w:rsidR="6A199F1A" w:rsidRPr="001D7A31" w:rsidRDefault="6A199F1A" w:rsidP="6A199F1A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Individuals who open fewer than 50 boxes can be said to be risk averse. Those who open more can be said to be risk seeking. </w:t>
      </w:r>
    </w:p>
    <w:p w14:paraId="7FDA7615" w14:textId="0EB6E54D" w:rsidR="6A199F1A" w:rsidRPr="001D7A31" w:rsidRDefault="6A199F1A" w:rsidP="6A199F1A">
      <w:pPr>
        <w:spacing w:line="285" w:lineRule="exact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i/>
          <w:iCs/>
          <w:sz w:val="24"/>
          <w:szCs w:val="24"/>
        </w:rPr>
        <w:t xml:space="preserve">Additional Risk Preference Surveys: Risk Preferences: Holt </w:t>
      </w:r>
      <w:proofErr w:type="spellStart"/>
      <w:r w:rsidRPr="001D7A31">
        <w:rPr>
          <w:rFonts w:ascii="Lato Regular" w:eastAsia="Roboto" w:hAnsi="Lato Regular" w:cs="Roboto"/>
          <w:i/>
          <w:iCs/>
          <w:sz w:val="24"/>
          <w:szCs w:val="24"/>
        </w:rPr>
        <w:t>Laury</w:t>
      </w:r>
      <w:proofErr w:type="spellEnd"/>
      <w:r w:rsidRPr="001D7A31">
        <w:rPr>
          <w:rFonts w:ascii="Lato Regular" w:eastAsia="Roboto" w:hAnsi="Lato Regular" w:cs="Roboto"/>
          <w:i/>
          <w:iCs/>
          <w:sz w:val="24"/>
          <w:szCs w:val="24"/>
        </w:rPr>
        <w:t xml:space="preserve"> and Risk </w:t>
      </w:r>
      <w:proofErr w:type="spellStart"/>
      <w:r w:rsidRPr="001D7A31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1D7A31">
        <w:rPr>
          <w:rFonts w:ascii="Lato Regular" w:eastAsia="Roboto" w:hAnsi="Lato Regular" w:cs="Roboto"/>
          <w:sz w:val="24"/>
          <w:szCs w:val="24"/>
        </w:rPr>
        <w:t xml:space="preserve"> Survey: Ambiguity Aversion</w:t>
      </w:r>
    </w:p>
    <w:p w14:paraId="3220F7EC" w14:textId="2750E8D0" w:rsidR="6A199F1A" w:rsidRPr="001D7A31" w:rsidRDefault="6A199F1A" w:rsidP="6A199F1A">
      <w:pPr>
        <w:spacing w:line="285" w:lineRule="exact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0CDFE62A" w14:textId="6D1537B5" w:rsidR="6A199F1A" w:rsidRPr="001D7A31" w:rsidRDefault="6A199F1A" w:rsidP="6A199F1A">
      <w:pPr>
        <w:pStyle w:val="ListParagraph"/>
        <w:numPr>
          <w:ilvl w:val="0"/>
          <w:numId w:val="1"/>
        </w:numPr>
        <w:spacing w:line="285" w:lineRule="exact"/>
        <w:rPr>
          <w:rFonts w:ascii="Lato Regular" w:hAnsi="Lato Regular"/>
        </w:rPr>
      </w:pPr>
      <w:r w:rsidRPr="001D7A31">
        <w:rPr>
          <w:rFonts w:ascii="Lato Regular" w:eastAsia="Roboto" w:hAnsi="Lato Regular" w:cs="Roboto"/>
          <w:sz w:val="24"/>
          <w:szCs w:val="24"/>
        </w:rPr>
        <w:t>Compare situations of risk and uncertainty to aid in a discussion on the precautionary principle.</w:t>
      </w:r>
    </w:p>
    <w:p w14:paraId="56733BBC" w14:textId="76491879" w:rsidR="6A199F1A" w:rsidRPr="001D7A31" w:rsidRDefault="6A199F1A" w:rsidP="6A199F1A">
      <w:pPr>
        <w:pStyle w:val="ListParagraph"/>
        <w:numPr>
          <w:ilvl w:val="0"/>
          <w:numId w:val="1"/>
        </w:numPr>
        <w:spacing w:line="285" w:lineRule="exact"/>
        <w:rPr>
          <w:rFonts w:ascii="Lato Regular" w:hAnsi="Lato Regular"/>
        </w:rPr>
      </w:pPr>
      <w:r w:rsidRPr="001D7A31">
        <w:rPr>
          <w:rFonts w:ascii="Lato Regular" w:eastAsia="Roboto" w:hAnsi="Lato Regular" w:cs="Roboto"/>
          <w:sz w:val="24"/>
          <w:szCs w:val="24"/>
        </w:rPr>
        <w:t>Show that individuals exhibit a preference for known rather than unknown risks.</w:t>
      </w:r>
    </w:p>
    <w:p w14:paraId="4307A6BE" w14:textId="0E787B57" w:rsidR="6A199F1A" w:rsidRPr="001D7A31" w:rsidRDefault="6A199F1A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</w:p>
    <w:p w14:paraId="683FAA27" w14:textId="45C8EC28" w:rsidR="26881CDC" w:rsidRPr="001D7A31" w:rsidRDefault="6A199F1A" w:rsidP="6A199F1A">
      <w:pPr>
        <w:pStyle w:val="HeaderMobLab"/>
        <w:contextualSpacing/>
        <w:rPr>
          <w:rFonts w:ascii="Lato Regular" w:hAnsi="Lato Regular"/>
          <w:sz w:val="28"/>
          <w:szCs w:val="28"/>
        </w:rPr>
      </w:pPr>
      <w:r w:rsidRPr="001D7A31">
        <w:rPr>
          <w:rFonts w:ascii="Lato Regular" w:hAnsi="Lato Regular"/>
          <w:sz w:val="28"/>
          <w:szCs w:val="28"/>
        </w:rPr>
        <w:t>Time Preferences</w:t>
      </w:r>
    </w:p>
    <w:p w14:paraId="4DAD868B" w14:textId="6D35F519" w:rsidR="00A17B23" w:rsidRPr="001D7A31" w:rsidRDefault="6A199F1A" w:rsidP="6A199F1A">
      <w:pPr>
        <w:pStyle w:val="EachGame"/>
        <w:ind w:left="0" w:firstLine="0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MobLab Surveys: Time Preferences: Binary Choice (and Budget Sets) </w:t>
      </w:r>
    </w:p>
    <w:p w14:paraId="4FB6A5D8" w14:textId="07DFFF05" w:rsidR="00A17B23" w:rsidRPr="001D7A31" w:rsidRDefault="6A199F1A" w:rsidP="6A199F1A">
      <w:pPr>
        <w:spacing w:line="285" w:lineRule="exact"/>
        <w:contextualSpacing/>
        <w:rPr>
          <w:rFonts w:ascii="Lato Regular" w:eastAsia="Roboto" w:hAnsi="Lato Regular" w:cs="Roboto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07E395D2" w14:textId="6EEF58A0" w:rsidR="00A17B23" w:rsidRPr="001D7A31" w:rsidRDefault="6A199F1A" w:rsidP="6A199F1A">
      <w:pPr>
        <w:numPr>
          <w:ilvl w:val="0"/>
          <w:numId w:val="25"/>
        </w:numPr>
        <w:spacing w:line="285" w:lineRule="exact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 xml:space="preserve">Explore time preferences and elicit </w:t>
      </w:r>
      <w:proofErr w:type="gramStart"/>
      <w:r w:rsidRPr="001D7A31">
        <w:rPr>
          <w:rFonts w:ascii="Lato Regular" w:eastAsia="Roboto" w:hAnsi="Lato Regular" w:cs="Roboto"/>
          <w:sz w:val="24"/>
          <w:szCs w:val="24"/>
        </w:rPr>
        <w:t>individuals</w:t>
      </w:r>
      <w:proofErr w:type="gramEnd"/>
      <w:r w:rsidRPr="001D7A31">
        <w:rPr>
          <w:rFonts w:ascii="Lato Regular" w:eastAsia="Roboto" w:hAnsi="Lato Regular" w:cs="Roboto"/>
          <w:sz w:val="24"/>
          <w:szCs w:val="24"/>
        </w:rPr>
        <w:t xml:space="preserve"> willingness to tradeoff between present and future consumption. </w:t>
      </w:r>
    </w:p>
    <w:p w14:paraId="55662AFF" w14:textId="031FE58F" w:rsidR="005C7968" w:rsidRPr="001D7A31" w:rsidRDefault="6A199F1A" w:rsidP="001D7A31">
      <w:pPr>
        <w:numPr>
          <w:ilvl w:val="0"/>
          <w:numId w:val="25"/>
        </w:numPr>
        <w:spacing w:line="285" w:lineRule="exact"/>
        <w:contextualSpacing/>
        <w:rPr>
          <w:rFonts w:ascii="Lato Regular" w:hAnsi="Lato Regular"/>
          <w:sz w:val="24"/>
          <w:szCs w:val="24"/>
        </w:rPr>
      </w:pPr>
      <w:r w:rsidRPr="001D7A31">
        <w:rPr>
          <w:rFonts w:ascii="Lato Regular" w:eastAsia="Roboto" w:hAnsi="Lato Regular" w:cs="Roboto"/>
          <w:sz w:val="24"/>
          <w:szCs w:val="24"/>
        </w:rPr>
        <w:t>Likely show time inconsistent preferences where individuals exhibit different willingness t</w:t>
      </w:r>
      <w:bookmarkStart w:id="2" w:name="_GoBack"/>
      <w:bookmarkEnd w:id="2"/>
      <w:r w:rsidRPr="001D7A31">
        <w:rPr>
          <w:rFonts w:ascii="Lato Regular" w:eastAsia="Roboto" w:hAnsi="Lato Regular" w:cs="Roboto"/>
          <w:sz w:val="24"/>
          <w:szCs w:val="24"/>
        </w:rPr>
        <w:t>o tradeoff between present and future at different points in time.</w:t>
      </w:r>
    </w:p>
    <w:sectPr w:rsidR="005C7968" w:rsidRPr="001D7A31" w:rsidSect="001D7A31">
      <w:headerReference w:type="default" r:id="rId8"/>
      <w:footerReference w:type="default" r:id="rId9"/>
      <w:pgSz w:w="12240" w:h="15840"/>
      <w:pgMar w:top="20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7148" w14:textId="77777777" w:rsidR="007911C7" w:rsidRDefault="007911C7" w:rsidP="00981F1B">
      <w:r>
        <w:separator/>
      </w:r>
    </w:p>
  </w:endnote>
  <w:endnote w:type="continuationSeparator" w:id="0">
    <w:p w14:paraId="336F0E09" w14:textId="77777777" w:rsidR="007911C7" w:rsidRDefault="007911C7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06B6" w14:textId="0F7035A4" w:rsidR="00313B8A" w:rsidRPr="001D7A31" w:rsidRDefault="00BB0C2E" w:rsidP="4696F85F">
    <w:pPr>
      <w:pStyle w:val="Footer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1D7A31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7257A2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" strokeweight="2pt">
              <w10:wrap anchorx="page"/>
            </v:line>
          </w:pict>
        </mc:Fallback>
      </mc:AlternateContent>
    </w:r>
    <w:hyperlink r:id="rId1" w:history="1">
      <w:r w:rsidRPr="001D7A31">
        <w:rPr>
          <w:rStyle w:val="Hyperlink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1D7A31">
      <w:rPr>
        <w:rFonts w:ascii="Lato Regular" w:hAnsi="Lato Regular"/>
        <w:color w:val="9DAAAF"/>
        <w:sz w:val="16"/>
        <w:szCs w:val="16"/>
      </w:rPr>
      <w:t xml:space="preserve">      </w:t>
    </w:r>
    <w:r w:rsidRPr="001D7A31">
      <w:rPr>
        <w:rFonts w:ascii="Lato Regular" w:hAnsi="Lato Regular" w:cstheme="majorBidi"/>
        <w:color w:val="9DAAAF"/>
        <w:sz w:val="16"/>
        <w:szCs w:val="16"/>
      </w:rPr>
      <w:tab/>
    </w:r>
    <w:r w:rsidR="4696F85F" w:rsidRPr="001D7A31">
      <w:rPr>
        <w:rFonts w:ascii="Lato Regular" w:hAnsi="Lato Regular"/>
        <w:color w:val="9DAAAF"/>
        <w:sz w:val="16"/>
        <w:szCs w:val="16"/>
      </w:rPr>
      <w:t>MobLab ™ © 201</w:t>
    </w:r>
    <w:r w:rsidR="001D7A31">
      <w:rPr>
        <w:rFonts w:ascii="Lato Regular" w:hAnsi="Lato Regular"/>
        <w:color w:val="9DAAAF"/>
        <w:sz w:val="16"/>
        <w:szCs w:val="16"/>
      </w:rPr>
      <w:t>8</w:t>
    </w:r>
    <w:r w:rsidRPr="001D7A31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1D7A31">
      <w:rPr>
        <w:rFonts w:ascii="Lato Regular" w:hAnsi="Lato Regular" w:cstheme="majorBidi"/>
        <w:color w:val="9DAAAF"/>
        <w:sz w:val="16"/>
        <w:szCs w:val="16"/>
      </w:rPr>
      <w:t>P</w:t>
    </w:r>
    <w:r w:rsidRPr="001D7A31">
      <w:rPr>
        <w:rFonts w:ascii="Lato Regular" w:hAnsi="Lato Regular"/>
        <w:color w:val="9DAAAF"/>
        <w:sz w:val="16"/>
        <w:szCs w:val="16"/>
      </w:rPr>
      <w:t>a</w:t>
    </w:r>
    <w:r w:rsidRPr="001D7A31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1D7A31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1D7A31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1D7A31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1D7A31" w:rsidRPr="001D7A31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1D7A31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5C66" w14:textId="77777777" w:rsidR="007911C7" w:rsidRDefault="007911C7" w:rsidP="00981F1B">
      <w:r>
        <w:separator/>
      </w:r>
    </w:p>
  </w:footnote>
  <w:footnote w:type="continuationSeparator" w:id="0">
    <w:p w14:paraId="0BCA8B3B" w14:textId="77777777" w:rsidR="007911C7" w:rsidRDefault="007911C7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FECF" w14:textId="64073C75" w:rsidR="00BB0C2E" w:rsidRDefault="00BB0C2E" w:rsidP="001D7A31">
    <w:pPr>
      <w:jc w:val="right"/>
      <w:rPr>
        <w:rFonts w:ascii="Roboto" w:hAnsi="Roboto"/>
        <w:color w:val="9DAAAF"/>
        <w:sz w:val="24"/>
        <w:szCs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Header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0DA5"/>
    <w:multiLevelType w:val="hybridMultilevel"/>
    <w:tmpl w:val="AA02A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C4DE6"/>
    <w:multiLevelType w:val="hybridMultilevel"/>
    <w:tmpl w:val="4C362506"/>
    <w:lvl w:ilvl="0" w:tplc="A092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0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48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1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06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E4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AD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5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C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EB4F58"/>
    <w:multiLevelType w:val="hybridMultilevel"/>
    <w:tmpl w:val="3A0E8E2A"/>
    <w:lvl w:ilvl="0" w:tplc="5C6CE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6C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28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7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9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E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D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80780"/>
    <w:multiLevelType w:val="hybridMultilevel"/>
    <w:tmpl w:val="F8B0216A"/>
    <w:lvl w:ilvl="0" w:tplc="FFFFFFFF"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27"/>
  </w:num>
  <w:num w:numId="5">
    <w:abstractNumId w:val="20"/>
  </w:num>
  <w:num w:numId="6">
    <w:abstractNumId w:val="16"/>
  </w:num>
  <w:num w:numId="7">
    <w:abstractNumId w:val="2"/>
  </w:num>
  <w:num w:numId="8">
    <w:abstractNumId w:val="8"/>
  </w:num>
  <w:num w:numId="9">
    <w:abstractNumId w:val="30"/>
  </w:num>
  <w:num w:numId="10">
    <w:abstractNumId w:val="15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26"/>
  </w:num>
  <w:num w:numId="16">
    <w:abstractNumId w:val="23"/>
  </w:num>
  <w:num w:numId="17">
    <w:abstractNumId w:val="24"/>
  </w:num>
  <w:num w:numId="18">
    <w:abstractNumId w:val="12"/>
  </w:num>
  <w:num w:numId="19">
    <w:abstractNumId w:val="9"/>
  </w:num>
  <w:num w:numId="20">
    <w:abstractNumId w:val="32"/>
  </w:num>
  <w:num w:numId="21">
    <w:abstractNumId w:val="3"/>
  </w:num>
  <w:num w:numId="22">
    <w:abstractNumId w:val="5"/>
  </w:num>
  <w:num w:numId="23">
    <w:abstractNumId w:val="29"/>
  </w:num>
  <w:num w:numId="24">
    <w:abstractNumId w:val="6"/>
  </w:num>
  <w:num w:numId="25">
    <w:abstractNumId w:val="18"/>
  </w:num>
  <w:num w:numId="26">
    <w:abstractNumId w:val="17"/>
  </w:num>
  <w:num w:numId="27">
    <w:abstractNumId w:val="25"/>
  </w:num>
  <w:num w:numId="28">
    <w:abstractNumId w:val="22"/>
  </w:num>
  <w:num w:numId="29">
    <w:abstractNumId w:val="7"/>
  </w:num>
  <w:num w:numId="30">
    <w:abstractNumId w:val="33"/>
  </w:num>
  <w:num w:numId="31">
    <w:abstractNumId w:val="31"/>
  </w:num>
  <w:num w:numId="32">
    <w:abstractNumId w:val="11"/>
  </w:num>
  <w:num w:numId="33">
    <w:abstractNumId w:val="34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3167"/>
    <w:rsid w:val="001B39B4"/>
    <w:rsid w:val="001B5783"/>
    <w:rsid w:val="001D427E"/>
    <w:rsid w:val="001D7A31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15BC2"/>
    <w:rsid w:val="004245EC"/>
    <w:rsid w:val="004276BF"/>
    <w:rsid w:val="004343EC"/>
    <w:rsid w:val="0046623E"/>
    <w:rsid w:val="00473BD4"/>
    <w:rsid w:val="00485181"/>
    <w:rsid w:val="004B3313"/>
    <w:rsid w:val="004B446A"/>
    <w:rsid w:val="004C14C7"/>
    <w:rsid w:val="004D238E"/>
    <w:rsid w:val="004E699D"/>
    <w:rsid w:val="004F4CF4"/>
    <w:rsid w:val="004F59DD"/>
    <w:rsid w:val="00533602"/>
    <w:rsid w:val="005408E9"/>
    <w:rsid w:val="005754AA"/>
    <w:rsid w:val="0057782B"/>
    <w:rsid w:val="005A2BDC"/>
    <w:rsid w:val="005C7968"/>
    <w:rsid w:val="005F430B"/>
    <w:rsid w:val="0063325B"/>
    <w:rsid w:val="00650C15"/>
    <w:rsid w:val="00671BB2"/>
    <w:rsid w:val="006B1484"/>
    <w:rsid w:val="006C3138"/>
    <w:rsid w:val="006F5D76"/>
    <w:rsid w:val="00724964"/>
    <w:rsid w:val="007444FB"/>
    <w:rsid w:val="00755B54"/>
    <w:rsid w:val="0078369B"/>
    <w:rsid w:val="007911C7"/>
    <w:rsid w:val="00797CF3"/>
    <w:rsid w:val="007A0473"/>
    <w:rsid w:val="007C6B35"/>
    <w:rsid w:val="007D7175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327D2"/>
    <w:rsid w:val="00A40D09"/>
    <w:rsid w:val="00A8052D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60AD2"/>
    <w:rsid w:val="00C73D49"/>
    <w:rsid w:val="00C77466"/>
    <w:rsid w:val="00C80021"/>
    <w:rsid w:val="00C945B9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7682"/>
    <w:rsid w:val="00E23EC6"/>
    <w:rsid w:val="00E40933"/>
    <w:rsid w:val="00E46020"/>
    <w:rsid w:val="00E539F3"/>
    <w:rsid w:val="00E57AE2"/>
    <w:rsid w:val="00E71958"/>
    <w:rsid w:val="00E7304F"/>
    <w:rsid w:val="00E8582C"/>
    <w:rsid w:val="00E96D46"/>
    <w:rsid w:val="00EA0FD1"/>
    <w:rsid w:val="00EB5674"/>
    <w:rsid w:val="00EC2A82"/>
    <w:rsid w:val="00EF7424"/>
    <w:rsid w:val="00F00719"/>
    <w:rsid w:val="00F24305"/>
    <w:rsid w:val="00F32B72"/>
    <w:rsid w:val="00F35C2B"/>
    <w:rsid w:val="00F64B11"/>
    <w:rsid w:val="00FA66FC"/>
    <w:rsid w:val="00FD4C94"/>
    <w:rsid w:val="00FE0407"/>
    <w:rsid w:val="00FE4BC3"/>
    <w:rsid w:val="00FE7C09"/>
    <w:rsid w:val="26881CDC"/>
    <w:rsid w:val="4696F85F"/>
    <w:rsid w:val="59F85387"/>
    <w:rsid w:val="6A199F1A"/>
    <w:rsid w:val="6BD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2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2793</Characters>
  <Application>Microsoft Macintosh Word</Application>
  <DocSecurity>0</DocSecurity>
  <Lines>73</Lines>
  <Paragraphs>60</Paragraphs>
  <ScaleCrop>false</ScaleCrop>
  <Manager/>
  <Company>MobLab, Inc.</Company>
  <LinksUpToDate>false</LinksUpToDate>
  <CharactersWithSpaces>3182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jeff stehney</cp:lastModifiedBy>
  <cp:revision>19</cp:revision>
  <cp:lastPrinted>2015-08-03T18:27:00Z</cp:lastPrinted>
  <dcterms:created xsi:type="dcterms:W3CDTF">2017-08-02T17:47:00Z</dcterms:created>
  <dcterms:modified xsi:type="dcterms:W3CDTF">2018-04-03T18:17:00Z</dcterms:modified>
  <cp:category/>
</cp:coreProperties>
</file>